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0" w:right="0" w:hanging="0"/>
        <w:jc w:val="right"/>
        <w:rPr>
          <w:rFonts w:ascii="Times New Roman CYR" w:hAnsi="Times New Roman CYR"/>
          <w:b/>
          <w:b/>
          <w:color w:val="000000"/>
          <w:spacing w:val="0"/>
          <w:sz w:val="24"/>
        </w:rPr>
      </w:pPr>
      <w:r>
        <w:rPr>
          <w:rFonts w:ascii="Times New Roman" w:hAnsi="Times New Roman"/>
          <w:b w:val="false"/>
          <w:color w:val="000000"/>
          <w:spacing w:val="0"/>
          <w:sz w:val="28"/>
        </w:rPr>
        <w:t>Приложение №7 к приказу</w:t>
      </w:r>
    </w:p>
    <w:p>
      <w:pPr>
        <w:pStyle w:val="Normal"/>
        <w:spacing w:before="0" w:after="0"/>
        <w:ind w:left="0" w:right="0" w:hanging="0"/>
        <w:jc w:val="right"/>
        <w:rPr>
          <w:rFonts w:ascii="Times New Roman CYR" w:hAnsi="Times New Roman CYR"/>
          <w:b/>
          <w:b/>
          <w:color w:val="000000"/>
          <w:spacing w:val="0"/>
          <w:sz w:val="24"/>
        </w:rPr>
      </w:pPr>
      <w:r>
        <w:rPr>
          <w:rFonts w:ascii="Times New Roman" w:hAnsi="Times New Roman"/>
          <w:b w:val="false"/>
          <w:color w:val="000000"/>
          <w:spacing w:val="0"/>
          <w:sz w:val="28"/>
        </w:rPr>
        <w:t>«О противодействии коррупции»</w:t>
      </w:r>
    </w:p>
    <w:p>
      <w:pPr>
        <w:pStyle w:val="1"/>
        <w:spacing w:before="108" w:after="108"/>
        <w:ind w:left="0" w:right="0" w:hanging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1"/>
        <w:spacing w:lineRule="auto" w:line="240" w:before="0" w:after="0"/>
        <w:ind w:left="0" w:right="0" w:hanging="0"/>
        <w:jc w:val="center"/>
        <w:rPr/>
      </w:pPr>
      <w:r>
        <w:rPr>
          <w:rFonts w:ascii="Times New Roman " w:hAnsi="Times New Roman "/>
          <w:color w:val="000000"/>
          <w:sz w:val="28"/>
        </w:rPr>
        <w:t xml:space="preserve">Кодекс профессиональной этики и поведения работников </w:t>
      </w:r>
    </w:p>
    <w:p>
      <w:pPr>
        <w:pStyle w:val="1"/>
        <w:spacing w:lineRule="auto" w:line="240" w:before="0" w:after="0"/>
        <w:ind w:left="0" w:right="0" w:hanging="0"/>
        <w:jc w:val="center"/>
        <w:rPr/>
      </w:pPr>
      <w:r>
        <w:rPr>
          <w:rFonts w:ascii="Times New Roman " w:hAnsi="Times New Roman "/>
          <w:color w:val="000000"/>
          <w:sz w:val="28"/>
        </w:rPr>
        <w:t>Территориального фонда обязательного медицинского страхования Республики Саха (Якутия)</w:t>
      </w:r>
    </w:p>
    <w:p>
      <w:pPr>
        <w:pStyle w:val="Normal"/>
        <w:spacing w:before="108" w:after="108"/>
        <w:ind w:left="0" w:right="0" w:hanging="0"/>
        <w:jc w:val="center"/>
        <w:rPr>
          <w:rFonts w:ascii="Times New Roman CYR" w:hAnsi="Times New Roman CYR"/>
          <w:b/>
          <w:b/>
          <w:color w:val="000000"/>
          <w:sz w:val="24"/>
        </w:rPr>
      </w:pPr>
      <w:r>
        <w:rPr>
          <w:b/>
          <w:color w:val="000000"/>
          <w:sz w:val="24"/>
        </w:rPr>
      </w:r>
    </w:p>
    <w:p>
      <w:pPr>
        <w:pStyle w:val="Normal"/>
        <w:spacing w:lineRule="auto" w:line="276"/>
        <w:rPr>
          <w:color w:val="000000"/>
        </w:rPr>
      </w:pPr>
      <w:hyperlink r:id="rId2">
        <w:r>
          <w:rPr>
            <w:rFonts w:ascii="Times New Roman" w:hAnsi="Times New Roman"/>
            <w:color w:val="000000"/>
            <w:sz w:val="28"/>
          </w:rPr>
          <w:t>Кодекс</w:t>
        </w:r>
      </w:hyperlink>
      <w:r>
        <w:rPr>
          <w:rFonts w:ascii="Times New Roman" w:hAnsi="Times New Roman"/>
          <w:color w:val="000000"/>
          <w:sz w:val="28"/>
        </w:rPr>
        <w:t xml:space="preserve"> профессиональной этики и поведения работников Территориального фонда обязательного медицинского страхования Республики Саха (Якутия) (далее - Кодекс) определяет моральные и нравственные принципы и правила поведения работников Территориального фонда обязательного медицинского страхования Республики Саха (Якутия) (далее - ТФОМС РС (Я)).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Целью </w:t>
      </w:r>
      <w:hyperlink r:id="rId3">
        <w:r>
          <w:rPr>
            <w:rFonts w:ascii="Times New Roman" w:hAnsi="Times New Roman"/>
            <w:color w:val="000000"/>
            <w:sz w:val="28"/>
          </w:rPr>
          <w:t>Кодекса</w:t>
        </w:r>
      </w:hyperlink>
      <w:r>
        <w:rPr>
          <w:rFonts w:ascii="Times New Roman" w:hAnsi="Times New Roman"/>
          <w:color w:val="000000"/>
          <w:sz w:val="28"/>
        </w:rPr>
        <w:t xml:space="preserve"> является установление этических норм и правил служебного поведения работников ТФОМС РС (Я) для достойного выполнения ими своей профессиональной деятельности, а также содействие укреплению авторитета работников, доверия граждан и организаций к ТФОМС РС (Я).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Лицо, осуществляющее профессиональную деятельность в ТФОМС РС (Я). добровольно возлагает на себя обязанности выполнять нормы и положения настоящего </w:t>
      </w:r>
      <w:hyperlink r:id="rId4">
        <w:r>
          <w:rPr>
            <w:rFonts w:ascii="Times New Roman" w:hAnsi="Times New Roman"/>
            <w:color w:val="000000"/>
            <w:sz w:val="28"/>
          </w:rPr>
          <w:t>Кодекса</w:t>
        </w:r>
      </w:hyperlink>
      <w:r>
        <w:rPr>
          <w:rFonts w:ascii="Times New Roman" w:hAnsi="Times New Roman"/>
          <w:color w:val="000000"/>
          <w:sz w:val="28"/>
        </w:rPr>
        <w:t>.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Профессиональная деятельность работников ТФОМС РС (Я) основывается на следующих принципах профессиональной этики:</w:t>
      </w:r>
    </w:p>
    <w:p>
      <w:pPr>
        <w:pStyle w:val="Normal"/>
        <w:spacing w:lineRule="auto" w:line="276"/>
        <w:rPr>
          <w:color w:val="000000"/>
        </w:rPr>
      </w:pPr>
      <w:r>
        <w:rPr>
          <w:color w:val="000000"/>
        </w:rPr>
      </w:r>
    </w:p>
    <w:p>
      <w:pPr>
        <w:pStyle w:val="1"/>
        <w:spacing w:lineRule="auto" w:line="276"/>
        <w:rPr>
          <w:rFonts w:ascii="Times New Roman" w:hAnsi="Times New Roman"/>
          <w:color w:val="000000"/>
          <w:sz w:val="28"/>
        </w:rPr>
      </w:pPr>
      <w:bookmarkStart w:id="0" w:name="sub_1090"/>
      <w:bookmarkEnd w:id="0"/>
      <w:r>
        <w:rPr>
          <w:rFonts w:ascii="Times New Roman" w:hAnsi="Times New Roman"/>
          <w:color w:val="000000"/>
          <w:sz w:val="28"/>
        </w:rPr>
        <w:t>1. Законность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В своей профессиональной деятельности работник ТФОМС РС (Я) обязан соблюдать </w:t>
      </w:r>
      <w:hyperlink r:id="rId5">
        <w:r>
          <w:rPr>
            <w:rFonts w:ascii="Times New Roman" w:hAnsi="Times New Roman"/>
            <w:color w:val="000000"/>
            <w:sz w:val="28"/>
          </w:rPr>
          <w:t>Конституцию</w:t>
        </w:r>
      </w:hyperlink>
      <w:r>
        <w:rPr>
          <w:rFonts w:ascii="Times New Roman" w:hAnsi="Times New Roman"/>
          <w:color w:val="000000"/>
          <w:sz w:val="28"/>
        </w:rPr>
        <w:t xml:space="preserve"> Российской Федерации, руководствоваться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Российской Федерации и Республики Саха (Якутия), антикоррупционным законодательством, нормативными правовыми актами и методическими указаниями Федерального фонда обязательного медицинского страхования, Положением о Территориальном фонде обязательного медицинского страхования Республики Саха (Якутия), Правилами внутреннего трудового распорядка иными нормативными правовыми актами и правилами поведения.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76"/>
        <w:rPr>
          <w:rFonts w:ascii="Times New Roman" w:hAnsi="Times New Roman"/>
          <w:color w:val="000000"/>
          <w:sz w:val="28"/>
        </w:rPr>
      </w:pPr>
      <w:bookmarkStart w:id="1" w:name="sub_1091"/>
      <w:bookmarkEnd w:id="1"/>
      <w:r>
        <w:rPr>
          <w:rFonts w:ascii="Times New Roman" w:hAnsi="Times New Roman"/>
          <w:color w:val="000000"/>
          <w:sz w:val="28"/>
        </w:rPr>
        <w:t>2. Конфиденциальность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Работник ТФОМС РС (Я) обязан хранить и не разглашать имеющуюся в его распоряжении конфиденциальную информацию, за исключением случаев, прямо предусмотренных законодательством Российской Федерации.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76"/>
        <w:rPr>
          <w:rFonts w:ascii="Times New Roman" w:hAnsi="Times New Roman"/>
          <w:color w:val="000000"/>
          <w:sz w:val="28"/>
        </w:rPr>
      </w:pPr>
      <w:bookmarkStart w:id="2" w:name="sub_1092"/>
      <w:bookmarkEnd w:id="2"/>
      <w:r>
        <w:rPr>
          <w:rFonts w:ascii="Times New Roman" w:hAnsi="Times New Roman"/>
          <w:color w:val="000000"/>
          <w:sz w:val="28"/>
        </w:rPr>
        <w:t>3. Добросовестность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Добросовестное исполнение своих должностных обязанностей и трудовой функции имеет приоритетное значение в деятельности работника ТФОМС РС (Я).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76"/>
        <w:rPr>
          <w:rFonts w:ascii="Times New Roman" w:hAnsi="Times New Roman"/>
          <w:color w:val="000000"/>
          <w:sz w:val="28"/>
        </w:rPr>
      </w:pPr>
      <w:bookmarkStart w:id="3" w:name="sub_1093"/>
      <w:bookmarkEnd w:id="3"/>
      <w:r>
        <w:rPr>
          <w:rFonts w:ascii="Times New Roman" w:hAnsi="Times New Roman"/>
          <w:color w:val="000000"/>
          <w:sz w:val="28"/>
        </w:rPr>
        <w:t>4. Профессионализм</w:t>
      </w:r>
    </w:p>
    <w:p>
      <w:pPr>
        <w:pStyle w:val="Normal"/>
        <w:spacing w:lineRule="auto" w:line="27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Территориальный фонд обязательного медицинского страхования Республики Саха (Якутия) осуществляет деятельность исключительно на профессиональной основе, привлекая к работе специалистов высокой квалификации, а также принимает меры для поддержания и повышения уровня квалификации и профессионализма своих работников, в том числе путем проведения их профессионального обучения.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Работник ТФОМС РС (Я) обязан: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исходить из того, что признание, соблюдение и защита прав и свобод человека и гражданина определяют смысл и содержание его профессиональной деятельности;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осуществлять свою профессиональную деятельность в рамках полномочий ТФОМС РС (Я), установленных законодательством Российской Федерации;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исполнять должностные обязанности добросовестно, на высоком профессиональном уровне;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соблюдать нейтральность, исключающую возможность влияния на свою профессиональную деятельность решений политических партий, общественных и религиозных объединений и иных организаций: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совершать поступки, порочащие его честь и достоинство;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проявлять корректность в обращении с гражданами и работниками ТФОМС РС (Я);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допускать конфликтных ситуаций, способных нанести ущерб его деловой репутации или авторитету ТФОМС РС (Я);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распространять не соответствующую действительности информацию о работе ТФОМС РС (Я):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соблюдать установленные правила публичных выступлений и предоставления конфиденциальной информации.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Во время осуществления профессиональной деятельности работник ТФОМС РС (Я) обязан воздерживаться от: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поведения (высказываний, жестов, действий), которое может быть воспринято окружающими как обещание дачи взятки или предложение дачи взятки либо как согласие принять взятку или как просьба о даче взятки;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В целях противодействия коррупции работник ТФОМС РС (Я) обязан соблюдать следующие ограничения: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получать в связи с исполнением должностных обязанностей вознаграждений от физических и юридических лиц (подарки, денежные вознаграждения, ссуды, услуги, оплату развлечений, отдыха и иные вознаграждения);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принимать без письменного разрешения руководства ТФОМС РС (Я) награды, почетные и специальные звания (за исключением научных) иностранных государств, организаций и объединений, если в его должностные обязанности входит взаимодействие с указанными организациями и объединениями;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входить в состав органов управления, попечительских или наблюдательных советов и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>
      <w:pPr>
        <w:pStyle w:val="Normal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не заниматься без письменного разрешения руководства ТФОМС РС (Я) оплачиваемой деятельностью, финансируемой исключительно за счет средств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>
      <w:pPr>
        <w:pStyle w:val="Normal"/>
        <w:spacing w:lineRule="auto" w:line="276"/>
        <w:rPr>
          <w:color w:val="000000"/>
        </w:rPr>
      </w:pPr>
      <w:bookmarkStart w:id="4" w:name="sub_60111"/>
      <w:bookmarkEnd w:id="4"/>
      <w:r>
        <w:rPr>
          <w:rFonts w:ascii="Times New Roman" w:hAnsi="Times New Roman"/>
          <w:color w:val="000000"/>
          <w:sz w:val="28"/>
        </w:rPr>
        <w:t xml:space="preserve">Соблюдение работником ТФОМС РС (Я) положений настоящего </w:t>
      </w:r>
      <w:hyperlink r:id="rId6">
        <w:r>
          <w:rPr>
            <w:rFonts w:ascii="Times New Roman" w:hAnsi="Times New Roman"/>
            <w:color w:val="000000"/>
            <w:sz w:val="28"/>
          </w:rPr>
          <w:t>Кодекса</w:t>
        </w:r>
      </w:hyperlink>
      <w:r>
        <w:rPr>
          <w:rFonts w:ascii="Times New Roman" w:hAnsi="Times New Roman"/>
          <w:color w:val="000000"/>
          <w:sz w:val="28"/>
        </w:rPr>
        <w:t xml:space="preserve"> учитывается при формировании кадрового резерва для выдвижения на вышестоящие должности, при назначении на вышестоящую должность, при поощрении и награждении, а также при наложении дисциплинарных взысканий.</w:t>
      </w:r>
    </w:p>
    <w:p>
      <w:pPr>
        <w:pStyle w:val="Normal"/>
        <w:spacing w:lineRule="auto" w:line="276"/>
        <w:jc w:val="center"/>
        <w:rPr>
          <w:color w:val="000000"/>
        </w:rPr>
      </w:pPr>
      <w:r>
        <w:rPr/>
      </w:r>
    </w:p>
    <w:sectPr>
      <w:headerReference w:type="default" r:id="rId7"/>
      <w:footerReference w:type="default" r:id="rId8"/>
      <w:type w:val="nextPage"/>
      <w:pgSz w:w="11906" w:h="16800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 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before="0" w:after="0"/>
      <w:ind w:left="0" w:right="0" w:hanging="0"/>
      <w:rPr>
        <w:rFonts w:ascii="Arial" w:hAnsi="Arial"/>
        <w:sz w:val="24"/>
      </w:rPr>
    </w:pPr>
    <w:r>
      <w:rPr>
        <w:rFonts w:ascii="Arial" w:hAnsi="Arial"/>
        <w:sz w:val="2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next w:val="Normal"/>
    <w:uiPriority w:val="9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2">
    <w:name w:val="Heading 2"/>
    <w:next w:val="Normal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link w:val="Contents21"/>
    <w:qFormat/>
    <w:rPr>
      <w:rFonts w:ascii="XO Thames" w:hAnsi="XO Thames"/>
      <w:sz w:val="28"/>
    </w:rPr>
  </w:style>
  <w:style w:type="character" w:styleId="Contents4">
    <w:name w:val="Contents 4"/>
    <w:link w:val="Contents41"/>
    <w:qFormat/>
    <w:rPr>
      <w:rFonts w:ascii="XO Thames" w:hAnsi="XO Thames"/>
      <w:sz w:val="28"/>
    </w:rPr>
  </w:style>
  <w:style w:type="character" w:styleId="Footer">
    <w:name w:val="Footer"/>
    <w:qFormat/>
    <w:rPr>
      <w:rFonts w:ascii="Times New Roman" w:hAnsi="Times New Roman"/>
      <w:sz w:val="20"/>
    </w:rPr>
  </w:style>
  <w:style w:type="character" w:styleId="Contents6">
    <w:name w:val="Contents 6"/>
    <w:link w:val="Contents61"/>
    <w:qFormat/>
    <w:rPr>
      <w:rFonts w:ascii="XO Thames" w:hAnsi="XO Thames"/>
      <w:sz w:val="28"/>
    </w:rPr>
  </w:style>
  <w:style w:type="character" w:styleId="Contents7">
    <w:name w:val="Contents 7"/>
    <w:link w:val="Contents71"/>
    <w:qFormat/>
    <w:rPr>
      <w:rFonts w:ascii="XO Thames" w:hAnsi="XO Thames"/>
      <w:sz w:val="28"/>
    </w:rPr>
  </w:style>
  <w:style w:type="character" w:styleId="Contents1">
    <w:name w:val="Contents 1"/>
    <w:link w:val="Contents11"/>
    <w:qFormat/>
    <w:rPr>
      <w:rFonts w:ascii="XO Thames" w:hAnsi="XO Thames"/>
      <w:b/>
      <w:color w:val="000000"/>
      <w:spacing w:val="0"/>
      <w:sz w:val="28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Contents5">
    <w:name w:val="Contents 5"/>
    <w:link w:val="Contents51"/>
    <w:qFormat/>
    <w:rPr>
      <w:rFonts w:ascii="XO Thames" w:hAnsi="XO Thames"/>
      <w:color w:val="000000"/>
      <w:spacing w:val="0"/>
      <w:sz w:val="28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Style9">
    <w:name w:val="Цветовое выделение"/>
    <w:link w:val="Style27"/>
    <w:qFormat/>
    <w:rPr>
      <w:rFonts w:ascii="Times New Roman" w:hAnsi="Times New Roman"/>
      <w:b/>
      <w:color w:val="26282F"/>
      <w:spacing w:val="0"/>
      <w:sz w:val="24"/>
    </w:rPr>
  </w:style>
  <w:style w:type="character" w:styleId="Style10">
    <w:name w:val="Гипертекстовая ссылка"/>
    <w:basedOn w:val="Style9"/>
    <w:link w:val="Style28"/>
    <w:qFormat/>
    <w:rPr>
      <w:rFonts w:ascii="Times New Roman" w:hAnsi="Times New Roman"/>
      <w:b w:val="false"/>
      <w:color w:val="106BBE"/>
      <w:sz w:val="24"/>
    </w:rPr>
  </w:style>
  <w:style w:type="character" w:styleId="Heading2">
    <w:name w:val="Heading 2"/>
    <w:qFormat/>
    <w:rPr>
      <w:rFonts w:ascii="XO Thames" w:hAnsi="XO Thames"/>
      <w:b/>
      <w:color w:val="000000"/>
      <w:spacing w:val="0"/>
      <w:sz w:val="28"/>
    </w:rPr>
  </w:style>
  <w:style w:type="character" w:styleId="Header">
    <w:name w:val="Header"/>
    <w:qFormat/>
    <w:rPr>
      <w:rFonts w:ascii="Times New Roman" w:hAnsi="Times New Roman"/>
      <w:sz w:val="20"/>
    </w:rPr>
  </w:style>
  <w:style w:type="character" w:styleId="Style11">
    <w:name w:val="Колонтитул"/>
    <w:link w:val="Style24"/>
    <w:qFormat/>
    <w:rPr/>
  </w:style>
  <w:style w:type="character" w:styleId="Contents3">
    <w:name w:val="Contents 3"/>
    <w:link w:val="Contents31"/>
    <w:qFormat/>
    <w:rPr>
      <w:rFonts w:ascii="XO Thames" w:hAnsi="XO Thames"/>
      <w:color w:val="000000"/>
      <w:spacing w:val="0"/>
      <w:sz w:val="28"/>
    </w:rPr>
  </w:style>
  <w:style w:type="character" w:styleId="Caption">
    <w:name w:val="Caption"/>
    <w:qFormat/>
    <w:rPr>
      <w:i/>
      <w:sz w:val="24"/>
    </w:rPr>
  </w:style>
  <w:style w:type="character" w:styleId="Style12">
    <w:name w:val="Комментарий"/>
    <w:basedOn w:val="Style18"/>
    <w:link w:val="Style30"/>
    <w:qFormat/>
    <w:rPr>
      <w:color w:val="353842"/>
    </w:rPr>
  </w:style>
  <w:style w:type="character" w:styleId="Style13">
    <w:name w:val="Указатель"/>
    <w:link w:val="Style23"/>
    <w:qFormat/>
    <w:rPr/>
  </w:style>
  <w:style w:type="character" w:styleId="List">
    <w:name w:val="List"/>
    <w:basedOn w:val="Textbody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Style14">
    <w:name w:val="Интернет-ссылка"/>
    <w:link w:val="Style31"/>
    <w:rPr>
      <w:rFonts w:ascii="Liberation Serif" w:hAnsi="Liberation Serif"/>
      <w:color w:val="0000FF"/>
      <w:spacing w:val="0"/>
      <w:sz w:val="24"/>
      <w:u w:val="single"/>
    </w:rPr>
  </w:style>
  <w:style w:type="character" w:styleId="Textbody">
    <w:name w:val="Text body"/>
    <w:link w:val="Textbody1"/>
    <w:qFormat/>
    <w:rPr/>
  </w:style>
  <w:style w:type="character" w:styleId="Heading1">
    <w:name w:val="Heading 1"/>
    <w:qFormat/>
    <w:rPr>
      <w:b/>
      <w:color w:val="26282F"/>
    </w:rPr>
  </w:style>
  <w:style w:type="character" w:styleId="Footnote">
    <w:name w:val="Footnote"/>
    <w:link w:val="Footnote1"/>
    <w:qFormat/>
    <w:rPr>
      <w:rFonts w:ascii="XO Thames" w:hAnsi="XO Thames"/>
      <w:color w:val="000000"/>
      <w:spacing w:val="0"/>
      <w:sz w:val="22"/>
    </w:rPr>
  </w:style>
  <w:style w:type="character" w:styleId="Style15">
    <w:name w:val="Нормальный (таблица)"/>
    <w:link w:val="Style32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link w:val="Contents91"/>
    <w:qFormat/>
    <w:rPr>
      <w:rFonts w:ascii="XO Thames" w:hAnsi="XO Thames"/>
      <w:sz w:val="28"/>
    </w:rPr>
  </w:style>
  <w:style w:type="character" w:styleId="Contents8">
    <w:name w:val="Contents 8"/>
    <w:link w:val="Contents81"/>
    <w:qFormat/>
    <w:rPr>
      <w:rFonts w:ascii="XO Thames" w:hAnsi="XO Thames"/>
      <w:color w:val="000000"/>
      <w:spacing w:val="0"/>
      <w:sz w:val="28"/>
    </w:rPr>
  </w:style>
  <w:style w:type="character" w:styleId="Style16">
    <w:name w:val="Цветовое выделение для Текст"/>
    <w:link w:val="Style33"/>
    <w:qFormat/>
    <w:rPr>
      <w:rFonts w:ascii="Liberation Serif" w:hAnsi="Liberation Serif"/>
      <w:color w:val="000000"/>
      <w:spacing w:val="0"/>
      <w:sz w:val="24"/>
    </w:rPr>
  </w:style>
  <w:style w:type="character" w:styleId="Style17">
    <w:name w:val="Заголовок"/>
    <w:link w:val="Style19"/>
    <w:qFormat/>
    <w:rPr>
      <w:rFonts w:ascii="Liberation Sans" w:hAnsi="Liberation Sans"/>
      <w:sz w:val="28"/>
    </w:rPr>
  </w:style>
  <w:style w:type="character" w:styleId="Heading4">
    <w:name w:val="Heading 4"/>
    <w:qFormat/>
    <w:rPr>
      <w:rFonts w:ascii="XO Thames" w:hAnsi="XO Thames"/>
      <w:b/>
      <w:color w:val="000000"/>
      <w:spacing w:val="0"/>
      <w:sz w:val="24"/>
    </w:rPr>
  </w:style>
  <w:style w:type="character" w:styleId="Style18">
    <w:name w:val="Текст (справка)"/>
    <w:link w:val="Style34"/>
    <w:qFormat/>
    <w:rPr/>
  </w:style>
  <w:style w:type="character" w:styleId="Subtitle">
    <w:name w:val="Subtitle"/>
    <w:qFormat/>
    <w:rPr>
      <w:rFonts w:ascii="XO Thames" w:hAnsi="XO Thames"/>
      <w:i/>
      <w:color w:val="000000"/>
      <w:spacing w:val="0"/>
      <w:sz w:val="24"/>
    </w:rPr>
  </w:style>
  <w:style w:type="paragraph" w:styleId="Style19">
    <w:name w:val="Заголовок"/>
    <w:basedOn w:val="Normal"/>
    <w:next w:val="Style20"/>
    <w:link w:val="Style17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Textbody1"/>
    <w:pPr/>
    <w:rPr/>
  </w:style>
  <w:style w:type="paragraph" w:styleId="Style22">
    <w:name w:val="Caption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23">
    <w:name w:val="Указатель"/>
    <w:basedOn w:val="Normal"/>
    <w:link w:val="Style13"/>
    <w:qFormat/>
    <w:pPr/>
    <w:rPr/>
  </w:style>
  <w:style w:type="paragraph" w:styleId="21">
    <w:name w:val="TOC 2"/>
    <w:next w:val="Normal"/>
    <w:uiPriority w:val="39"/>
    <w:pPr>
      <w:widowControl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4">
    <w:name w:val="Колонтитул"/>
    <w:link w:val="Style11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5">
    <w:name w:val="Footer"/>
    <w:next w:val="Normal"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6">
    <w:name w:val="TOC 6"/>
    <w:next w:val="Normal"/>
    <w:uiPriority w:val="39"/>
    <w:pPr>
      <w:widowControl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11">
    <w:name w:val="Contents 1"/>
    <w:link w:val="Contents1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51">
    <w:name w:val="Contents 5"/>
    <w:link w:val="Contents5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6">
    <w:name w:val="Title"/>
    <w:next w:val="Normal"/>
    <w:uiPriority w:val="10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ontents41">
    <w:name w:val="Contents 4"/>
    <w:link w:val="Contents4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7">
    <w:name w:val="Цветовое выделение"/>
    <w:link w:val="Style9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Style28">
    <w:name w:val="Гипертекстовая ссылка"/>
    <w:basedOn w:val="Style27"/>
    <w:link w:val="Style10"/>
    <w:qFormat/>
    <w:pPr/>
    <w:rPr>
      <w:rFonts w:ascii="Times New Roman" w:hAnsi="Times New Roman"/>
      <w:b w:val="false"/>
      <w:color w:val="106BBE"/>
      <w:sz w:val="24"/>
    </w:rPr>
  </w:style>
  <w:style w:type="paragraph" w:styleId="Style29">
    <w:name w:val="Header"/>
    <w:next w:val="Normal"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Contents31">
    <w:name w:val="Contents 3"/>
    <w:link w:val="Contents3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31">
    <w:name w:val="TOC 3"/>
    <w:next w:val="Normal"/>
    <w:uiPriority w:val="39"/>
    <w:pPr>
      <w:widowControl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0">
    <w:name w:val="Комментарий"/>
    <w:basedOn w:val="Style34"/>
    <w:next w:val="Normal"/>
    <w:link w:val="Style12"/>
    <w:qFormat/>
    <w:pPr>
      <w:spacing w:before="75" w:after="0"/>
      <w:ind w:left="170" w:right="0" w:hanging="0"/>
    </w:pPr>
    <w:rPr>
      <w:color w:val="353842"/>
    </w:rPr>
  </w:style>
  <w:style w:type="paragraph" w:styleId="Contents61">
    <w:name w:val="Contents 6"/>
    <w:link w:val="Contents6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1">
    <w:name w:val="Интернет-ссылка"/>
    <w:link w:val="Style14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Internetlink">
    <w:name w:val="Hyperlink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32">
    <w:name w:val="Нормальный (таблица)"/>
    <w:basedOn w:val="Normal"/>
    <w:next w:val="Normal"/>
    <w:link w:val="Style15"/>
    <w:qFormat/>
    <w:pPr>
      <w:ind w:left="0" w:right="0" w:hanging="0"/>
    </w:pPr>
    <w:rPr/>
  </w:style>
  <w:style w:type="paragraph" w:styleId="9">
    <w:name w:val="TOC 9"/>
    <w:next w:val="Normal"/>
    <w:uiPriority w:val="39"/>
    <w:pPr>
      <w:widowControl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81">
    <w:name w:val="Contents 8"/>
    <w:link w:val="Contents8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51">
    <w:name w:val="TOC 5"/>
    <w:next w:val="Normal"/>
    <w:uiPriority w:val="39"/>
    <w:pPr>
      <w:widowControl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3">
    <w:name w:val="Цветовое выделение для Текст"/>
    <w:link w:val="Style16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Contents21">
    <w:name w:val="Contents 2"/>
    <w:link w:val="Contents2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extbody1">
    <w:name w:val="Text body"/>
    <w:link w:val="Textbody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4">
    <w:name w:val="Текст (справка)"/>
    <w:basedOn w:val="Normal"/>
    <w:next w:val="Normal"/>
    <w:link w:val="Style18"/>
    <w:qFormat/>
    <w:pPr>
      <w:ind w:left="170" w:right="170" w:hanging="0"/>
      <w:jc w:val="left"/>
    </w:pPr>
    <w:rPr/>
  </w:style>
  <w:style w:type="paragraph" w:styleId="Style35">
    <w:name w:val="Subtitle"/>
    <w:next w:val="Normal"/>
    <w:uiPriority w:val="11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Contents71">
    <w:name w:val="Contents 7"/>
    <w:link w:val="Contents7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91">
    <w:name w:val="Contents 9"/>
    <w:link w:val="Contents9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12125268/0" TargetMode="External"/><Relationship Id="rId3" Type="http://schemas.openxmlformats.org/officeDocument/2006/relationships/hyperlink" Target="https://internet.garant.ru/document/redirect/12125268/0" TargetMode="External"/><Relationship Id="rId4" Type="http://schemas.openxmlformats.org/officeDocument/2006/relationships/hyperlink" Target="https://internet.garant.ru/document/redirect/12125268/0" TargetMode="External"/><Relationship Id="rId5" Type="http://schemas.openxmlformats.org/officeDocument/2006/relationships/hyperlink" Target="https://internet.garant.ru/document/redirect/10103000/0" TargetMode="External"/><Relationship Id="rId6" Type="http://schemas.openxmlformats.org/officeDocument/2006/relationships/hyperlink" Target="https://internet.garant.ru/document/redirect/12125268/0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4</Pages>
  <Words>708</Words>
  <Characters>5413</Characters>
  <CharactersWithSpaces>6084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2023-07-27T10:48:51Z</dcterms:modified>
  <cp:revision>1</cp:revision>
  <dc:subject/>
  <dc:title/>
</cp:coreProperties>
</file>